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83"/>
        <w:gridCol w:w="567"/>
        <w:gridCol w:w="284"/>
        <w:gridCol w:w="708"/>
        <w:gridCol w:w="142"/>
        <w:gridCol w:w="851"/>
        <w:gridCol w:w="850"/>
        <w:gridCol w:w="142"/>
        <w:gridCol w:w="567"/>
        <w:gridCol w:w="709"/>
        <w:gridCol w:w="283"/>
        <w:gridCol w:w="1041"/>
        <w:gridCol w:w="160"/>
      </w:tblGrid>
      <w:tr w:rsidR="00F45660" w:rsidRPr="00F45660" w:rsidTr="0048531A">
        <w:trPr>
          <w:trHeight w:val="315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2601"/>
              <w:gridCol w:w="850"/>
              <w:gridCol w:w="851"/>
              <w:gridCol w:w="850"/>
              <w:gridCol w:w="992"/>
              <w:gridCol w:w="851"/>
              <w:gridCol w:w="1042"/>
              <w:gridCol w:w="1651"/>
            </w:tblGrid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03D1" w:rsidRPr="00161A8E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СОВЕТ СЕЛЬСКОГО ПОСЕЛЕНИЯ КОВАРДИНСКИЙ СЕЛЬСОВЕТ</w:t>
                  </w: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 РАЙОНА ГАФУРИЙСКИЙ РАЙОН</w:t>
                  </w: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РЕСПУБЛИКИ БАШКОРТОСТАН</w:t>
                  </w:r>
                </w:p>
                <w:p w:rsidR="00161A8E" w:rsidRPr="00161A8E" w:rsidRDefault="00161A8E" w:rsidP="00161A8E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РЕШЕНИЕ</w:t>
                  </w: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 бюджете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</w:t>
                  </w: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на 2019 год и на плановый период 2020 и 2021 годов</w:t>
                  </w:r>
                </w:p>
                <w:p w:rsidR="00161A8E" w:rsidRPr="00161A8E" w:rsidRDefault="00161A8E" w:rsidP="0016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1" w:name="Par12"/>
                  <w:bookmarkEnd w:id="1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1. Утвердить основные характеристики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2019 год: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1) прогнозируемый общий объем доходов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в сумме 3492,1 тыс. рублей;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общий объем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в сумме 3492,1 тыс. рублей.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2. Утвердить основные характеристики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плановый период 2020 и 2021 годов: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1) прогнозируемый общий объем доходов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2020год в сумме 3511,3 тыс. рублей и на 2021 год в сумме 3591,8 тыс. рублей;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общий объем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2020 год в сумме 3511,3 тыс. рублей, в том числе условно утвержденные расходы в сумме 80,5 тыс. рублей, и на 2021 год в сумме 3591,8 тыс. рублей, в том числе условно утвержденные расходы в сумме 161,0 тыс. рублей;</w:t>
                  </w:r>
                  <w:proofErr w:type="gramEnd"/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Установить, что при зачислении в бюджет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ств дл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я осуществления расходов, соответствующих целям, на достижение которых предоставлены добровольные взносы (пожертвования).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4. Утвердить перечень главных администраторов доходов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согласно приложению 1 к настоящему Решению.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5. Установить поступления доходов в бюджет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1) на 2019 год согласно приложению 2 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на плановый период 2020 и 2021 годов согласно приложению 3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к настоящему Решению.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6. Утвердить в пределах общего объема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установленного статьей 1 настоящего Решения, распределение бюджетных ассигнований: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1) по разделам, подразделам, целевым статьям (муниципальным программам и непрограммным направлениям деятельности), группам 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а) на 2019 год согласно приложению 4 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б) на плановый период 2020 и 2021 годов согласно приложению 5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по целевым статьям (муниципальным программам и непрограммным направлениям деятельности), группам 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а) на 2019 год согласно приложению 6 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б) на плановый период 2020 и 2021 годов согласно приложению 7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к настоящему Решению.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7. Утвердить общий объем бюджетных ассигнований на исполнение публичных нормативных обязательств на 2019 год в сумме 0 тыс. рублей, на 2020 год в сумме 0 тыс. рублей и на 2021 год в сумме 0 тыс. рублей.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8. Утвердить ведомственную структуру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1) на 2019 год согласно приложению 8 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2) на плановый период 2020 и 2021 годов согласно приложению 9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к настоящему Решению.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9. Установить, что в 2019–2021 годах из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в соответствии со статьей 78 Бюджетного кодекса Российской Федерации и в порядке, установленном нормативными правовыми актами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Республики Башкортостан, предоставляются субсидии (гранты в форме субсидий):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1) транспортным организациям, осуществляющим перевозку пассажиров по государственным регулируемым ценам (тарифам);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и индивидуальным предпринимателям, осуществляющим первичную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по выполнению сельскохозяйственных механизированных работ;</w:t>
                  </w:r>
                  <w:proofErr w:type="gramEnd"/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10. Установить, что в 2018–2020 годах из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1)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юридическим лицам (за исключением субсидий муниципальным учреждениям, а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также субсидий, указанных в </w:t>
                  </w:r>
                  <w:hyperlink r:id="rId6" w:history="1">
                    <w:r w:rsidRPr="00161A8E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пунктах 6 и 7 статьи 78</w:t>
                    </w:r>
                  </w:hyperlink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            </w:r>
                  <w:proofErr w:type="gramEnd"/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2) муниципальным бюджетным и автономным учреждениям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Башкортостан: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возмещение нормативных затрат на оказание ими в соответствии с муниципальным заданием муниципальных услуг (выполнение работ);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иные цели.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Субсидии, указанные в подпункте 1 части 1 настоящего пункта, предоставляются: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1)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2)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            </w:r>
                  <w:proofErr w:type="gramEnd"/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3) муниципальным унитарным предприятиям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в целях возмещения затрат на содержание муниципального имущества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Башкортостан;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11. 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Субсидии, предусмотренные муниципальным бюджетным и автономным учреждениям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в Финансовом управлении Администрации муниципального района 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Башкортостан.</w:t>
                  </w:r>
                  <w:proofErr w:type="gramEnd"/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12. 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Установить, что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решения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иные нормативные правовые акты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2019 год и на плановый период 2020 и 2021 годов, а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также сокращающие его доходную базу, подлежат исполнению при изыскании дополнительных источников доходов бюджета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и (или) сокращении бюджетных ассигнований по конкретным статьям расходов бюджета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при условии внесения соответствующих изменений в настоящее Решение. </w:t>
                  </w:r>
                  <w:proofErr w:type="gramEnd"/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13. </w:t>
                  </w:r>
                  <w:proofErr w:type="gram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Проекты решений  и иных нормативных правовых актов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2019 год и на плановый период 2020 и 2021 годов либо сокращающие его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доходную базу, вносятся только при одновременном внесении предложений о дополнительных источниках доходов бюджета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и (или) сокращении бюджетных ассигнований по конкретным статьям расходов бюджета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Башкортостан. 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14. Администрация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и работников организаций бюджетной сферы. 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15. Установить предельный объем муниципального долга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2019 год в сумме 402,0 тыс. рублей, на 2020 год в сумме 402,0 тыс. рублей и на 2021 год в сумме 402,0 тыс. рублей. 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Утвердить в составе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расходы на участие в профилактике терроризма и экстремизма на 2019 год в сумме 10,0 тыс. руб., на 2019 год в сумме 10,0 тыс. руб. на 2010 год в сумме 10,0 тыс. руб.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16. Утвердить: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1) верхний предел муниципального долга на 1 января 2020 года в сумме 0 тыс. рублей, на 1 января 2021 года в сумме 0 тыс. рублей и на 1 января 2022 года в сумме 0 тыс. рублей, в том числе верхний предел долга по муниципальным гарантиям на 1 января 2020 года в сумме 0 тыс. рублей, на 1 января 2021 года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в сумме 0 тыс. рублей, на 1 января 2022 года в сумме 0 тыс. рублей;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программу муниципальных гарантий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а) на 2019 год согласно приложению 10 к настоящему Решению;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б) на плановый период 2020 и 2021 годов согласно приложению 11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к настоящему Решению.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17. Утвердить размер средств резервного фонда администрации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на 2019 год в сумме 10,0 тыс. руб., на 2020 год в сумме 10,0 тыс. руб., на 2021 год в сумме 10,0 тыс. руб.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18. Установить, что остатки средств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по состоянию на 1 января 2019 года в объеме: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1) не более одной двенадцатой общего объема расходов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не превышающем сумму остатка неиспользованных бюджетных ассигнований на оплату заключенных от имени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2018 году, направляются в 2019 году на увеличение соответствующих бюджетных ассигнований на указанные цели в случае принятия соответствующего</w:t>
                  </w:r>
                  <w:proofErr w:type="gram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решения.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19. Установить в соответствии с пунктом 3 статьи 217 Бюджетного кодекса Российской Федерации, что основанием для внесения изменений в показатели сводной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бюджетной росписи бюджета сельского поселения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 является распределение зарезервированных в составе утвержденных бюджетных ассигнований: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            </w:r>
                </w:p>
                <w:p w:rsidR="00161A8E" w:rsidRPr="00161A8E" w:rsidRDefault="00161A8E" w:rsidP="00161A8E">
                  <w:pPr>
                    <w:pStyle w:val="a5"/>
                    <w:spacing w:line="240" w:lineRule="atLeast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объектов капитального строительства муниципальной собственности, бюджетные инвестиции </w:t>
                  </w: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в которые осуществляются из местных бюджетов. </w:t>
                  </w:r>
                </w:p>
                <w:p w:rsidR="00161A8E" w:rsidRPr="00161A8E" w:rsidRDefault="00161A8E" w:rsidP="00161A8E">
                  <w:pPr>
                    <w:pStyle w:val="a5"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20. Настоящее Решение вступает в силу с 1 января 2019 года.</w:t>
                  </w:r>
                </w:p>
                <w:p w:rsidR="00161A8E" w:rsidRPr="00161A8E" w:rsidRDefault="00161A8E" w:rsidP="00161A8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  <w:t>21. Решение подлежит официальному опубликованию не позднее 10 дней после его подписания в установленном порядке.</w:t>
                  </w: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Глава сельского поселения</w:t>
                  </w: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сельсовет</w:t>
                  </w: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</w:t>
                  </w:r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Республики Башкортостан        _________________     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Р.Р.Абельгузин</w:t>
                  </w:r>
                  <w:proofErr w:type="spellEnd"/>
                </w:p>
                <w:p w:rsidR="00161A8E" w:rsidRPr="00161A8E" w:rsidRDefault="00161A8E" w:rsidP="00161A8E">
                  <w:pPr>
                    <w:spacing w:line="240" w:lineRule="atLeast"/>
                    <w:ind w:right="97" w:firstLine="709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Коварды</w:t>
                  </w:r>
                  <w:proofErr w:type="spellEnd"/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 декабря 2018 года</w:t>
                  </w: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A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№50-153з</w:t>
                  </w: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61A8E" w:rsidRPr="00161A8E" w:rsidRDefault="00161A8E" w:rsidP="00161A8E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61A8E" w:rsidRP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tbl>
                  <w:tblPr>
                    <w:tblW w:w="9515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37"/>
                    <w:gridCol w:w="5278"/>
                  </w:tblGrid>
                  <w:tr w:rsidR="00161A8E" w:rsidRPr="00161A8E" w:rsidTr="00161A8E">
                    <w:trPr>
                      <w:trHeight w:val="3246"/>
                    </w:trPr>
                    <w:tc>
                      <w:tcPr>
                        <w:tcW w:w="4237" w:type="dxa"/>
                        <w:shd w:val="clear" w:color="auto" w:fill="auto"/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900" w:right="92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78" w:type="dxa"/>
                        <w:shd w:val="clear" w:color="auto" w:fill="auto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left="900" w:right="92" w:hanging="36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Приложение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№ 1                                                                        к  решению Совета сельского поселения                                         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сельсовет муниципального района  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Гафурийский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район Республики Башкортостан от 17 декабря 2018 года </w:t>
                        </w:r>
                      </w:p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left="900" w:right="92" w:hanging="36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№ 50-153з   «О бюджете сельского поселения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Гафурийский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район Республики Башкортостан  на 2019год и на плановый период 2020 и 2021годов»</w:t>
                        </w:r>
                      </w:p>
                    </w:tc>
                  </w:tr>
                </w:tbl>
                <w:p w:rsidR="00161A8E" w:rsidRPr="00161A8E" w:rsidRDefault="00161A8E" w:rsidP="00161A8E">
                  <w:pPr>
                    <w:tabs>
                      <w:tab w:val="left" w:pos="10260"/>
                    </w:tabs>
                    <w:spacing w:after="0" w:line="240" w:lineRule="auto"/>
                    <w:ind w:right="9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61A8E" w:rsidRPr="00161A8E" w:rsidRDefault="00161A8E" w:rsidP="00161A8E">
                  <w:pPr>
                    <w:spacing w:after="0" w:line="240" w:lineRule="auto"/>
                    <w:ind w:right="9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Перечень главных администраторов </w:t>
                  </w:r>
                </w:p>
                <w:p w:rsidR="00161A8E" w:rsidRPr="00161A8E" w:rsidRDefault="00161A8E" w:rsidP="00161A8E">
                  <w:pPr>
                    <w:spacing w:after="0" w:line="240" w:lineRule="auto"/>
                    <w:ind w:right="9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</w:t>
                  </w:r>
                </w:p>
                <w:p w:rsidR="00161A8E" w:rsidRPr="00161A8E" w:rsidRDefault="00161A8E" w:rsidP="00161A8E">
                  <w:pPr>
                    <w:spacing w:after="0" w:line="240" w:lineRule="auto"/>
                    <w:ind w:right="9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 Республики Башкортостан</w:t>
                  </w:r>
                </w:p>
                <w:p w:rsidR="00161A8E" w:rsidRPr="00161A8E" w:rsidRDefault="00161A8E" w:rsidP="00161A8E">
                  <w:pPr>
                    <w:tabs>
                      <w:tab w:val="left" w:pos="10260"/>
                    </w:tabs>
                    <w:spacing w:after="0" w:line="240" w:lineRule="auto"/>
                    <w:ind w:right="9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9413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58"/>
                    <w:gridCol w:w="3019"/>
                    <w:gridCol w:w="5136"/>
                  </w:tblGrid>
                  <w:tr w:rsidR="00161A8E" w:rsidRPr="00161A8E" w:rsidTr="00161A8E">
                    <w:trPr>
                      <w:cantSplit/>
                      <w:trHeight w:val="367"/>
                    </w:trPr>
                    <w:tc>
                      <w:tcPr>
                        <w:tcW w:w="4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Код бюджетной классификации Российской Федерации  </w:t>
                        </w:r>
                      </w:p>
                    </w:tc>
                    <w:tc>
                      <w:tcPr>
                        <w:tcW w:w="51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Наименование </w:t>
                        </w:r>
                      </w:p>
                    </w:tc>
                  </w:tr>
                  <w:tr w:rsidR="00161A8E" w:rsidRPr="00161A8E" w:rsidTr="00161A8E">
                    <w:trPr>
                      <w:cantSplit/>
                      <w:trHeight w:val="1628"/>
                    </w:trPr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главного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адми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нистра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-тора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доходов бюджета  поселения </w:t>
                        </w:r>
                      </w:p>
                    </w:tc>
                    <w:tc>
                      <w:tcPr>
                        <w:tcW w:w="51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161A8E" w:rsidRPr="00161A8E" w:rsidRDefault="00161A8E" w:rsidP="00161A8E">
                  <w:pPr>
                    <w:tabs>
                      <w:tab w:val="left" w:pos="10260"/>
                    </w:tabs>
                    <w:spacing w:after="0" w:line="240" w:lineRule="auto"/>
                    <w:ind w:right="9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9452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3"/>
                    <w:gridCol w:w="3032"/>
                    <w:gridCol w:w="5157"/>
                  </w:tblGrid>
                  <w:tr w:rsidR="00161A8E" w:rsidRPr="00161A8E" w:rsidTr="00161A8E">
                    <w:trPr>
                      <w:trHeight w:val="1041"/>
                      <w:tblHeader/>
                    </w:trPr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61A8E" w:rsidRPr="00161A8E" w:rsidTr="00161A8E">
                    <w:trPr>
                      <w:trHeight w:val="1778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Администрация сельского поселения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Гафурийский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район Республики Башкортостан</w:t>
                        </w:r>
                      </w:p>
                    </w:tc>
                  </w:tr>
                  <w:tr w:rsidR="00161A8E" w:rsidRPr="00161A8E" w:rsidTr="00161A8E">
                    <w:trPr>
                      <w:trHeight w:val="104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108"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1 08 04020 01 1000 110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161A8E" w:rsidRPr="00161A8E" w:rsidTr="00161A8E">
                    <w:trPr>
                      <w:trHeight w:val="104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108"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1 08 04020 01 4000 110  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(прочие поступления)</w:t>
                        </w:r>
                      </w:p>
                    </w:tc>
                  </w:tr>
                  <w:tr w:rsidR="00161A8E" w:rsidRPr="00161A8E" w:rsidTr="00161A8E">
                    <w:trPr>
                      <w:trHeight w:val="104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108"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1 08 07175 01 1000 110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161A8E" w:rsidRPr="00161A8E" w:rsidTr="00161A8E">
                    <w:trPr>
                      <w:trHeight w:val="104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108"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1 08 07175 01 4000 110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(прочие поступления)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1 13 02065 10 0000 130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Доходы, поступающие в порядке возмещения расходов, понесенных в связи с эксплуатацией имущества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Прочие доходы от компенсации затрат 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1 16 23051 10 0000 140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1 16 23052 10 0000 140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92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1 16 32000 10 0000 140 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Прочие поступления от денежных взысканий (штрафов) и иных сумм в возмещение ущерба, зачисляемые в бюджеты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Прочие неналоговые доходы бюджетов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lastRenderedPageBreak/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1 17 14030 10 0000 150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Средства самообложения граждан, зачисляемые в бюджеты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1 18 05200 10 0000 150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1 18 05000 10 0000 150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      </w:r>
                      </w:p>
                    </w:tc>
                  </w:tr>
                  <w:tr w:rsidR="00161A8E" w:rsidRPr="00161A8E" w:rsidTr="00161A8E">
                    <w:trPr>
                      <w:trHeight w:val="901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Безвозмездные поступления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&lt;1&gt;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Иные доходы бюджета сельского поселения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сельсовет муниципального района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Гафурийский</w:t>
                        </w:r>
                        <w:proofErr w:type="spellEnd"/>
                      </w:p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Гафурийский</w:t>
                        </w:r>
                        <w:proofErr w:type="spellEnd"/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район  Республики Башкортостан в пределах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их компетенции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1 11 03050 10 0000 120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Проценты, полученные от предоставления бюджетных кредитов внутри страны за счет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1 11 09015 10 0000 120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1 11 09025 10 0000 120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распоряжения правами на результаты научно-технической деятельности, находящимися в собственности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1 11 09045 10 0000 120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1 12 04051 10 0000 120 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1 12 04052 10 0000 120 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1 13 02065 10 0000 130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Доходы, поступающие в порядке возмещения расходов, понесенных в связи с эксплуатацией  имущества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Прочие доходы от компенсации затрат 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1 14 01050 10 0000 410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Доходы от продажи квартир, находящихся в собственности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сельских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1 14 03050 10 0000 410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1 14 03050 10 0000 440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Средства от распоряжения и реализации конфискованного и иного имущества, обращенного в доходы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 (в части реализации материальных запасов по указанному имуществу)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1 14 04050 10 0000 420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Доходы от продажи нематериальных активов, находящихся в собственности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1 15 02050 10 0000 140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Платежи, взимаемые органами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местного самоуправления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(организациями)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 за выполнение определенных функций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1 16 23051 10 0000 140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1 16 23052 10 0000 140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118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left="-93"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Прочие поступления от денежных взысканий (штрафов) и иных сумм в возмещение ущерба, зачисляемые в бюджеты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118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1183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Прочие неналоговые доходы бюджетов 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сельских</w:t>
                        </w:r>
                        <w:r w:rsidRPr="00161A8E"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  <w:t xml:space="preserve"> поселений</w:t>
                        </w:r>
                      </w:p>
                    </w:tc>
                  </w:tr>
                  <w:tr w:rsidR="00161A8E" w:rsidRPr="00161A8E" w:rsidTr="00161A8E">
                    <w:trPr>
                      <w:trHeight w:val="889"/>
                    </w:trPr>
                    <w:tc>
                      <w:tcPr>
                        <w:tcW w:w="12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tabs>
                            <w:tab w:val="left" w:pos="10260"/>
                          </w:tabs>
                          <w:spacing w:after="0" w:line="240" w:lineRule="auto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5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1A8E" w:rsidRPr="00161A8E" w:rsidRDefault="00161A8E" w:rsidP="00161A8E">
                        <w:pPr>
                          <w:spacing w:after="0" w:line="240" w:lineRule="auto"/>
                          <w:ind w:right="92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61A8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Безвозмездные поступления &lt;1&gt;, &lt;2&gt;</w:t>
                        </w:r>
                      </w:p>
                    </w:tc>
                  </w:tr>
                </w:tbl>
                <w:p w:rsidR="00161A8E" w:rsidRPr="00161A8E" w:rsidRDefault="00161A8E" w:rsidP="00161A8E">
                  <w:pPr>
                    <w:tabs>
                      <w:tab w:val="left" w:pos="10260"/>
                    </w:tabs>
                    <w:spacing w:after="0" w:line="240" w:lineRule="auto"/>
                    <w:ind w:right="9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2"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&lt;1</w:t>
                  </w:r>
                  <w:proofErr w:type="gram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&gt; В</w:t>
                  </w:r>
                  <w:proofErr w:type="gram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части доходов, зачисляемых в бюджет сельского поселения 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Республики Башкортостан в пределах компетенции главных администраторов доходов бюджета поселения 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Республики Башкортостан.</w:t>
                  </w:r>
                </w:p>
                <w:p w:rsidR="00161A8E" w:rsidRPr="00161A8E" w:rsidRDefault="00161A8E" w:rsidP="00161A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2"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&lt;2&gt; Администраторами доходов бюджета сельского поселения 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Республики Башкортостан) являются</w:t>
                  </w:r>
                  <w:proofErr w:type="gram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            </w:r>
                </w:p>
                <w:p w:rsidR="00E103D1" w:rsidRPr="00E103D1" w:rsidRDefault="00161A8E" w:rsidP="00161A8E">
                  <w:pPr>
                    <w:spacing w:after="0" w:line="240" w:lineRule="auto"/>
                    <w:ind w:right="9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Администраторами доходов бюджета сельского поселения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Ковардинский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>Гафурийский</w:t>
                  </w:r>
                  <w:proofErr w:type="spellEnd"/>
                  <w:r w:rsidRPr="00161A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403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432" w:type="dxa"/>
                    <w:tblInd w:w="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9"/>
                    <w:gridCol w:w="1490"/>
                    <w:gridCol w:w="961"/>
                    <w:gridCol w:w="961"/>
                    <w:gridCol w:w="961"/>
                  </w:tblGrid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943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31"/>
                          <w:gridCol w:w="5070"/>
                        </w:tblGrid>
                        <w:tr w:rsidR="00161A8E" w:rsidTr="00161A8E">
                          <w:tc>
                            <w:tcPr>
                              <w:tcW w:w="4131" w:type="dxa"/>
                            </w:tcPr>
                            <w:p w:rsidR="00161A8E" w:rsidRDefault="00161A8E" w:rsidP="00161A8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0" w:type="dxa"/>
                            </w:tcPr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Приложение №2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 решению Совета сельского поселения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Ковардинский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 сельсовет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Гафурийский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"О бюджете сельского поселения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Имендяшевский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сельсовет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Муниципального района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Гафурийский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Республики Башкортостан на 2019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г.</w:t>
                              </w: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proofErr w:type="gram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плановый</w:t>
                              </w:r>
                              <w:proofErr w:type="gram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2020 и 2021 годов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50-153з   от   17</w:t>
                              </w: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декабря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018г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Поступление доходов в  бюджет   на 2019 год  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943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уб</w:t>
                        </w:r>
                        <w:proofErr w:type="spellEnd"/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1A8E" w:rsidRPr="00C508BD" w:rsidTr="00161A8E">
                    <w:trPr>
                      <w:trHeight w:val="596"/>
                    </w:trPr>
                    <w:tc>
                      <w:tcPr>
                        <w:tcW w:w="5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 дохода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Подвид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ОСГУ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3 492,10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1010200001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1877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1050300001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1251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Земельный налог с организаций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938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1251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1251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1080400001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2190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3 090,10</w:t>
                        </w:r>
                      </w:p>
                    </w:tc>
                  </w:tr>
                  <w:tr w:rsidR="00161A8E" w:rsidRPr="00C508BD" w:rsidTr="00161A8E">
                    <w:trPr>
                      <w:trHeight w:val="938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3 090,10</w:t>
                        </w:r>
                      </w:p>
                    </w:tc>
                  </w:tr>
                  <w:tr w:rsidR="00161A8E" w:rsidRPr="00C508BD" w:rsidTr="00161A8E">
                    <w:trPr>
                      <w:trHeight w:val="626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2 816,80</w:t>
                        </w:r>
                      </w:p>
                    </w:tc>
                  </w:tr>
                  <w:tr w:rsidR="00161A8E" w:rsidRPr="00C508BD" w:rsidTr="00161A8E">
                    <w:trPr>
                      <w:trHeight w:val="626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217,70</w:t>
                        </w:r>
                      </w:p>
                    </w:tc>
                  </w:tr>
                  <w:tr w:rsidR="00161A8E" w:rsidRPr="00C508BD" w:rsidTr="00161A8E">
                    <w:trPr>
                      <w:trHeight w:val="626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217,70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217,70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217,70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217,70</w:t>
                        </w:r>
                      </w:p>
                    </w:tc>
                  </w:tr>
                  <w:tr w:rsidR="00161A8E" w:rsidRPr="00C508BD" w:rsidTr="00161A8E">
                    <w:trPr>
                      <w:trHeight w:val="626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2 599,10</w:t>
                        </w:r>
                      </w:p>
                    </w:tc>
                  </w:tr>
                  <w:tr w:rsidR="00161A8E" w:rsidRPr="00C508BD" w:rsidTr="00161A8E">
                    <w:trPr>
                      <w:trHeight w:val="938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2 599,10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2 599,10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2 599,10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2 599,10</w:t>
                        </w:r>
                      </w:p>
                    </w:tc>
                  </w:tr>
                  <w:tr w:rsidR="00161A8E" w:rsidRPr="00C508BD" w:rsidTr="00161A8E">
                    <w:trPr>
                      <w:trHeight w:val="626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2023000000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C508BD" w:rsidTr="00161A8E">
                    <w:trPr>
                      <w:trHeight w:val="938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C508BD" w:rsidTr="00161A8E">
                    <w:trPr>
                      <w:trHeight w:val="1251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C508BD" w:rsidTr="00161A8E">
                    <w:trPr>
                      <w:trHeight w:val="313"/>
                    </w:trPr>
                    <w:tc>
                      <w:tcPr>
                        <w:tcW w:w="50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C508BD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08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</w:tbl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1CD4" w:rsidRPr="00E103D1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31CD4" w:rsidRDefault="00231CD4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1A8E" w:rsidRPr="00E103D1" w:rsidRDefault="00161A8E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tbl>
                  <w:tblPr>
                    <w:tblpPr w:leftFromText="180" w:rightFromText="180" w:horzAnchor="margin" w:tblpXSpec="center" w:tblpY="-1131"/>
                    <w:tblW w:w="96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  <w:gridCol w:w="1501"/>
                    <w:gridCol w:w="949"/>
                    <w:gridCol w:w="900"/>
                    <w:gridCol w:w="900"/>
                    <w:gridCol w:w="900"/>
                  </w:tblGrid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70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1418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22"/>
                          <w:gridCol w:w="5233"/>
                          <w:gridCol w:w="4728"/>
                        </w:tblGrid>
                        <w:tr w:rsidR="00161A8E" w:rsidTr="00A10977">
                          <w:tc>
                            <w:tcPr>
                              <w:tcW w:w="4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61A8E" w:rsidRDefault="00161A8E" w:rsidP="00161A8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2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Приложение №3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 решению Совета сельского поселения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Ковардинский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 сельсовет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Гафурийский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"О бюджете сельского поселения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Имендяшевский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сельсовет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Муниципального района </w:t>
                              </w:r>
                              <w:proofErr w:type="spell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Гафурийский</w:t>
                              </w:r>
                              <w:proofErr w:type="spell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Республики Башкортостан на 2019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г.</w:t>
                              </w: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61A8E" w:rsidRDefault="00161A8E" w:rsidP="00161A8E">
                              <w:pPr>
                                <w:pStyle w:val="ConsPlusNormal"/>
                                <w:widowControl/>
                                <w:spacing w:line="240" w:lineRule="atLeast"/>
                                <w:ind w:firstLine="0"/>
                                <w:contextualSpacing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proofErr w:type="gramStart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плановый</w:t>
                              </w:r>
                              <w:proofErr w:type="gramEnd"/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2020 и 2021 годов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50-153з   от   17</w:t>
                              </w:r>
                              <w:r w:rsidRPr="000B1B4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декабря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018г</w:t>
                              </w:r>
                            </w:p>
                            <w:p w:rsidR="00161A8E" w:rsidRDefault="00161A8E" w:rsidP="00161A8E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728" w:type="dxa"/>
                              <w:tcBorders>
                                <w:left w:val="nil"/>
                              </w:tcBorders>
                            </w:tcPr>
                            <w:p w:rsidR="00161A8E" w:rsidRDefault="00161A8E" w:rsidP="00161A8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Поступление доходов в  бюджет   на 2020 и 2021 годы  </w:t>
                        </w:r>
                      </w:p>
                    </w:tc>
                  </w:tr>
                  <w:tr w:rsidR="00161A8E" w:rsidRPr="004F64CC" w:rsidTr="00161A8E">
                    <w:trPr>
                      <w:trHeight w:val="315"/>
                    </w:trPr>
                    <w:tc>
                      <w:tcPr>
                        <w:tcW w:w="9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уб</w:t>
                        </w:r>
                        <w:proofErr w:type="spellEnd"/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1A8E" w:rsidRPr="004F64CC" w:rsidTr="00A10977">
                    <w:trPr>
                      <w:trHeight w:val="599"/>
                    </w:trPr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 дохода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Подвид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ОСГУ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3 511,30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3 591,80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1010200001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1888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1010201001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1050300001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125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944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125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290,00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125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1080400001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2203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Налоговые доходы и таможенные платежи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1080402001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3 109,30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3 189,80</w:t>
                        </w:r>
                      </w:p>
                    </w:tc>
                  </w:tr>
                  <w:tr w:rsidR="00161A8E" w:rsidRPr="004F64CC" w:rsidTr="00A10977">
                    <w:trPr>
                      <w:trHeight w:val="944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3 109,30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3 189,80</w:t>
                        </w:r>
                      </w:p>
                    </w:tc>
                  </w:tr>
                  <w:tr w:rsidR="00161A8E" w:rsidRPr="004F64CC" w:rsidTr="00A10977">
                    <w:trPr>
                      <w:trHeight w:val="62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2 836,00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2 916,50</w:t>
                        </w:r>
                      </w:p>
                    </w:tc>
                  </w:tr>
                  <w:tr w:rsidR="00161A8E" w:rsidRPr="004F64CC" w:rsidTr="00A10977">
                    <w:trPr>
                      <w:trHeight w:val="62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235,20</w:t>
                        </w:r>
                      </w:p>
                    </w:tc>
                  </w:tr>
                  <w:tr w:rsidR="00161A8E" w:rsidRPr="004F64CC" w:rsidTr="00A10977">
                    <w:trPr>
                      <w:trHeight w:val="62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235,20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235,20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235,20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2021500110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235,20</w:t>
                        </w:r>
                      </w:p>
                    </w:tc>
                  </w:tr>
                  <w:tr w:rsidR="00161A8E" w:rsidRPr="004F64CC" w:rsidTr="00A10977">
                    <w:trPr>
                      <w:trHeight w:val="62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2 635,70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2 681,30</w:t>
                        </w:r>
                      </w:p>
                    </w:tc>
                  </w:tr>
                  <w:tr w:rsidR="00161A8E" w:rsidRPr="004F64CC" w:rsidTr="00A10977">
                    <w:trPr>
                      <w:trHeight w:val="944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2 635,70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2 681,30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2 635,70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2 681,30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2 635,70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2 681,30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2021500210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2 635,70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2 681,30</w:t>
                        </w:r>
                      </w:p>
                    </w:tc>
                  </w:tr>
                  <w:tr w:rsidR="00161A8E" w:rsidRPr="004F64CC" w:rsidTr="00A10977">
                    <w:trPr>
                      <w:trHeight w:val="62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2023000000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4F64CC" w:rsidTr="00A10977">
                    <w:trPr>
                      <w:trHeight w:val="944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4F64CC" w:rsidTr="00A10977">
                    <w:trPr>
                      <w:trHeight w:val="1259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  <w:tr w:rsidR="00161A8E" w:rsidRPr="004F64CC" w:rsidTr="00A10977">
                    <w:trPr>
                      <w:trHeight w:val="315"/>
                    </w:trPr>
                    <w:tc>
                      <w:tcPr>
                        <w:tcW w:w="4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1A8E" w:rsidRPr="004F64CC" w:rsidRDefault="00161A8E" w:rsidP="00161A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F64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273,30</w:t>
                        </w:r>
                      </w:p>
                    </w:tc>
                  </w:tr>
                </w:tbl>
                <w:p w:rsidR="00161A8E" w:rsidRDefault="00161A8E" w:rsidP="00161A8E"/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00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9"/>
                    <w:gridCol w:w="5185"/>
                  </w:tblGrid>
                  <w:tr w:rsidR="00231CD4" w:rsidTr="00231CD4">
                    <w:tc>
                      <w:tcPr>
                        <w:tcW w:w="4189" w:type="dxa"/>
                      </w:tcPr>
                      <w:p w:rsidR="00231CD4" w:rsidRDefault="00231CD4" w:rsidP="00E103D1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5" w:type="dxa"/>
                      </w:tcPr>
                      <w:p w:rsidR="00A10977" w:rsidRDefault="00A10977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10977" w:rsidRDefault="00A10977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10977" w:rsidRDefault="00A10977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Приложение №4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 решению Совета сельского поселения</w:t>
                        </w:r>
                      </w:p>
                      <w:p w:rsidR="00231CD4" w:rsidRDefault="00231CD4" w:rsidP="00231CD4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Ковардинский</w:t>
                        </w:r>
                        <w:proofErr w:type="spellEnd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сельсовет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Гафурийский</w:t>
                        </w:r>
                        <w:proofErr w:type="spellEnd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район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Республики Башкортостан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"О бюджете сельского поселения </w:t>
                        </w:r>
                        <w:proofErr w:type="spellStart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Имендяшевский</w:t>
                        </w:r>
                        <w:proofErr w:type="spellEnd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сельсовет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Муниципального района </w:t>
                        </w:r>
                        <w:proofErr w:type="spellStart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Гафурийский</w:t>
                        </w:r>
                        <w:proofErr w:type="spellEnd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район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Республики Башкортостан на 2019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1CD4" w:rsidRDefault="00231CD4" w:rsidP="00231CD4">
                        <w:pPr>
                          <w:pStyle w:val="ConsPlusNormal"/>
                          <w:widowControl/>
                          <w:spacing w:line="240" w:lineRule="atLeast"/>
                          <w:ind w:firstLine="0"/>
                          <w:contextualSpacing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и </w:t>
                        </w:r>
                        <w:proofErr w:type="gramStart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плановый</w:t>
                        </w:r>
                        <w:proofErr w:type="gramEnd"/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2020 и 2021 годов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1CD4" w:rsidRDefault="00231CD4" w:rsidP="00231CD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50-153з   от   17</w:t>
                        </w:r>
                        <w:r w:rsidRPr="000B1B4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декабря 2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018г</w:t>
                        </w:r>
                      </w:p>
                    </w:tc>
                  </w:tr>
                </w:tbl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CD4" w:rsidRDefault="00231CD4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{F{B-3} Распределение бюджетных ассигнований  на 2019 год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</w:t>
                  </w:r>
                  <w:proofErr w:type="gramEnd"/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103D1" w:rsidRPr="00E103D1" w:rsidTr="00161A8E">
              <w:trPr>
                <w:trHeight w:val="578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:Г</w:t>
                  </w:r>
                  <w:proofErr w:type="gram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/ДЦП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:П</w:t>
                  </w:r>
                  <w:proofErr w:type="gram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одпрограмма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/РЦП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:О</w:t>
                  </w:r>
                  <w:proofErr w:type="gram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сновное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  <w:proofErr w:type="gramStart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:Н</w:t>
                  </w:r>
                  <w:proofErr w:type="gram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аправление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расходов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3 492,1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2 533,5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103D1" w:rsidRPr="00E103D1" w:rsidTr="00161A8E">
              <w:trPr>
                <w:trHeight w:val="94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1 363,5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1 821,5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Резервные фонды местных </w:t>
                  </w: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07500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07500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51180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51180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273,3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«Снижение рисков и смягчение последствий чрезвычайных ситуаций природного и техногенного </w:t>
                  </w: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характера в сельском поселении муниципального района </w:t>
                  </w: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Гафурийский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      </w: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Гафурийский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Муниципальные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432,0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12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      </w: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Гафурийский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 Республики Башкортостан»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Профилактика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24700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24700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Муниципальные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94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"Устойчивое развитие сельских территорий сельских поселений муниципального района </w:t>
                  </w: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Гафурийский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03560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03560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Муниципальные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94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"Устойчивое развитие сельских территорий сельских поселений муниципального района </w:t>
                  </w:r>
                  <w:proofErr w:type="spellStart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Гафурийский</w:t>
                  </w:r>
                  <w:proofErr w:type="spellEnd"/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06050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06050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Муниципальные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05870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05870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УСЛОВНО УТВЕРЖДЕННЫЕ </w:t>
                  </w: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3D1" w:rsidRPr="00E103D1" w:rsidTr="00161A8E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3D1" w:rsidRPr="00E103D1" w:rsidRDefault="00E103D1" w:rsidP="00E103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5194"/>
            </w:tblGrid>
            <w:tr w:rsidR="00F45660" w:rsidTr="00F45660">
              <w:tc>
                <w:tcPr>
                  <w:tcW w:w="4438" w:type="dxa"/>
                </w:tcPr>
                <w:p w:rsidR="00F45660" w:rsidRDefault="00F45660" w:rsidP="00F456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4" w:type="dxa"/>
                </w:tcPr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F45660" w:rsidRDefault="00F45660" w:rsidP="0048531A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Ковардинский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сельсовет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Республики Башкортостан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"О бюджете сельского поселения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Имендяшевский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Республики Башкортостан на 2019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45660" w:rsidRDefault="00F45660" w:rsidP="00F45660">
                  <w:pPr>
                    <w:pStyle w:val="ConsPlusNormal"/>
                    <w:widowControl/>
                    <w:spacing w:line="240" w:lineRule="atLeast"/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proofErr w:type="gram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2020 и 2021 годов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45660" w:rsidRDefault="00F45660" w:rsidP="00F456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50-153з   от   17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декабря 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018г.</w:t>
                  </w:r>
                </w:p>
              </w:tc>
            </w:tr>
          </w:tbl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660" w:rsidRPr="00F45660" w:rsidTr="0048531A">
        <w:trPr>
          <w:trHeight w:val="315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660" w:rsidRPr="00F45660" w:rsidTr="0048531A">
        <w:trPr>
          <w:trHeight w:val="315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{F{B-3}Распределение бюджетных ассигнований  на 2020 и 2021 годы по разделам, подразделам, целевым статьям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F45660" w:rsidRPr="00F45660" w:rsidTr="0048531A">
        <w:trPr>
          <w:trHeight w:val="315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5660" w:rsidRPr="00F45660" w:rsidTr="0048531A">
        <w:trPr>
          <w:trHeight w:val="5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сновное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2 538,3</w:t>
            </w:r>
          </w:p>
        </w:tc>
      </w:tr>
      <w:tr w:rsidR="00F45660" w:rsidRPr="00F45660" w:rsidTr="0048531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F45660" w:rsidRPr="00F45660" w:rsidTr="0048531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профилактике терроризма и </w:t>
            </w: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1CD4" w:rsidRDefault="00231CD4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31A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5034"/>
            </w:tblGrid>
            <w:tr w:rsidR="0048531A" w:rsidTr="0048531A">
              <w:tc>
                <w:tcPr>
                  <w:tcW w:w="4438" w:type="dxa"/>
                </w:tcPr>
                <w:p w:rsidR="0048531A" w:rsidRDefault="0048531A" w:rsidP="00F456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4" w:type="dxa"/>
                </w:tcPr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48531A" w:rsidRDefault="0048531A" w:rsidP="0048531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Ковардинский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сельсовет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Республики Башкортостан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"О бюджете сельского поселения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Имендяшевский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Республики Башкортостан на 2019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proofErr w:type="gram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2020 и 2021 годов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8531A" w:rsidRDefault="0048531A" w:rsidP="004853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50-153з   от   17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декабря 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018г</w:t>
                  </w:r>
                </w:p>
              </w:tc>
            </w:tr>
          </w:tbl>
          <w:p w:rsidR="0048531A" w:rsidRPr="00F45660" w:rsidRDefault="0048531A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{F{B-3} Распределение бюджетных ассигнований  на 2019 год по целевым статьям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5660" w:rsidRPr="00F45660" w:rsidTr="0048531A">
        <w:trPr>
          <w:gridAfter w:val="1"/>
          <w:wAfter w:w="160" w:type="dxa"/>
          <w:trHeight w:val="57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сновное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F45660" w:rsidRPr="00F45660" w:rsidTr="0048531A">
        <w:trPr>
          <w:gridAfter w:val="1"/>
          <w:wAfter w:w="160" w:type="dxa"/>
          <w:trHeight w:val="1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</w:tr>
      <w:tr w:rsidR="00F45660" w:rsidRPr="00F45660" w:rsidTr="0048531A">
        <w:trPr>
          <w:gridAfter w:val="1"/>
          <w:wAfter w:w="160" w:type="dxa"/>
          <w:trHeight w:val="1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12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F45660" w:rsidRPr="00F45660" w:rsidTr="0048531A">
        <w:trPr>
          <w:gridAfter w:val="1"/>
          <w:wAfter w:w="160" w:type="dxa"/>
          <w:trHeight w:val="1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1 821,5</w:t>
            </w:r>
          </w:p>
        </w:tc>
      </w:tr>
      <w:tr w:rsidR="00F45660" w:rsidRPr="00F45660" w:rsidTr="0048531A">
        <w:trPr>
          <w:gridAfter w:val="1"/>
          <w:wAfter w:w="160" w:type="dxa"/>
          <w:trHeight w:val="1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gridAfter w:val="1"/>
          <w:wAfter w:w="160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45660" w:rsidRPr="00F45660" w:rsidTr="0048531A">
        <w:trPr>
          <w:gridAfter w:val="1"/>
          <w:wAfter w:w="160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gridAfter w:val="1"/>
          <w:wAfter w:w="160" w:type="dxa"/>
          <w:trHeight w:val="1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</w:tr>
      <w:tr w:rsidR="00F45660" w:rsidRPr="00F45660" w:rsidTr="0048531A">
        <w:trPr>
          <w:gridAfter w:val="1"/>
          <w:wAfter w:w="160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0" w:rsidRPr="00F45660" w:rsidRDefault="00F45660" w:rsidP="00F4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60" w:rsidRPr="00F45660" w:rsidRDefault="00F45660" w:rsidP="00F45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</w:tbl>
    <w:p w:rsidR="00F45660" w:rsidRDefault="00F45660"/>
    <w:p w:rsidR="0048531A" w:rsidRDefault="0048531A"/>
    <w:p w:rsidR="0048531A" w:rsidRDefault="0048531A"/>
    <w:p w:rsidR="0048531A" w:rsidRDefault="0048531A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992"/>
        <w:gridCol w:w="851"/>
        <w:gridCol w:w="1134"/>
        <w:gridCol w:w="708"/>
        <w:gridCol w:w="993"/>
        <w:gridCol w:w="1275"/>
      </w:tblGrid>
      <w:tr w:rsidR="0048531A" w:rsidRPr="0048531A" w:rsidTr="0048531A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5126"/>
            </w:tblGrid>
            <w:tr w:rsidR="0048531A" w:rsidTr="0048531A">
              <w:tc>
                <w:tcPr>
                  <w:tcW w:w="4297" w:type="dxa"/>
                </w:tcPr>
                <w:p w:rsidR="0048531A" w:rsidRDefault="0048531A" w:rsidP="004853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3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tcW w:w="5126" w:type="dxa"/>
                </w:tcPr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№7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48531A" w:rsidRDefault="0048531A" w:rsidP="0048531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Ковардинский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сельсовет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Республики Башкортостан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"О бюджете сельского поселения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Имендяшевский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Республики Башкортостан на 2019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8531A" w:rsidRDefault="0048531A" w:rsidP="0048531A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proofErr w:type="gram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2020 и 2021 годов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8531A" w:rsidRDefault="0048531A" w:rsidP="0048531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50-153з   от   17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декабря 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018г</w:t>
                  </w:r>
                </w:p>
              </w:tc>
            </w:tr>
          </w:tbl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1A" w:rsidRPr="0048531A" w:rsidTr="0048531A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1A" w:rsidRPr="0048531A" w:rsidTr="0048531A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{F{B-3} Распределение бюджетных ассигнований  на 2020 и 2021 годы по целевым статьям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48531A" w:rsidRPr="0048531A" w:rsidTr="0048531A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531A" w:rsidRPr="0048531A" w:rsidTr="0048531A">
        <w:trPr>
          <w:trHeight w:val="5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сновное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48531A" w:rsidRPr="0048531A" w:rsidTr="0048531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437,6</w:t>
            </w:r>
          </w:p>
        </w:tc>
      </w:tr>
      <w:tr w:rsidR="0048531A" w:rsidRPr="0048531A" w:rsidTr="0048531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инфраструктуры объектов </w:t>
            </w: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48531A" w:rsidRPr="0048531A" w:rsidTr="0048531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48531A" w:rsidRPr="0048531A" w:rsidTr="0048531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8531A" w:rsidRPr="0048531A" w:rsidTr="004853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48531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48531A" w:rsidRPr="0048531A" w:rsidTr="0048531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48531A" w:rsidRPr="0048531A" w:rsidTr="004853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</w:tbl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850"/>
        <w:gridCol w:w="851"/>
        <w:gridCol w:w="850"/>
        <w:gridCol w:w="992"/>
        <w:gridCol w:w="993"/>
        <w:gridCol w:w="1134"/>
      </w:tblGrid>
      <w:tr w:rsidR="0048531A" w:rsidRPr="0048531A" w:rsidTr="0048531A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3"/>
              <w:gridCol w:w="5269"/>
            </w:tblGrid>
            <w:tr w:rsidR="006B371F" w:rsidTr="002D41F1">
              <w:tc>
                <w:tcPr>
                  <w:tcW w:w="4013" w:type="dxa"/>
                </w:tcPr>
                <w:p w:rsidR="006B371F" w:rsidRDefault="006B371F" w:rsidP="004853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9" w:type="dxa"/>
                </w:tcPr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№8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2D41F1" w:rsidRDefault="002D41F1" w:rsidP="002D41F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Ковардинский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сельсовет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Республики Башкортостан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"О бюджете сельского поселения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Имендяшевский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Республики Башкортостан на 2019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D41F1" w:rsidRDefault="002D41F1" w:rsidP="002D41F1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плановый</w:t>
                  </w:r>
                  <w:proofErr w:type="gramEnd"/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2020 и 2021 годов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371F" w:rsidRDefault="002D41F1" w:rsidP="002D41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50-153з   от   17</w:t>
                  </w:r>
                  <w:r w:rsidRPr="000B1B4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декабря 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018г</w:t>
                  </w:r>
                </w:p>
              </w:tc>
            </w:tr>
          </w:tbl>
          <w:p w:rsidR="006B371F" w:rsidRDefault="006B371F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{F{B-3} Ведомственная структура расходов бюджета  на 2019 год </w:t>
            </w:r>
            <w:proofErr w:type="gramEnd"/>
          </w:p>
        </w:tc>
      </w:tr>
      <w:tr w:rsidR="0048531A" w:rsidRPr="0048531A" w:rsidTr="0048531A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531A" w:rsidRPr="0048531A" w:rsidTr="006B371F">
        <w:trPr>
          <w:trHeight w:val="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сновное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48531A" w:rsidRPr="0048531A" w:rsidTr="006B371F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</w:tr>
      <w:tr w:rsidR="0048531A" w:rsidRPr="0048531A" w:rsidTr="006B371F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48531A" w:rsidRPr="0048531A" w:rsidTr="006B371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1 821,5</w:t>
            </w:r>
          </w:p>
        </w:tc>
      </w:tr>
      <w:tr w:rsidR="0048531A" w:rsidRPr="0048531A" w:rsidTr="006B371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8531A" w:rsidRPr="0048531A" w:rsidTr="006B371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531A" w:rsidRPr="0048531A" w:rsidTr="006B371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48531A" w:rsidRPr="0048531A" w:rsidTr="006B371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3 492,1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</w:tr>
      <w:tr w:rsidR="0048531A" w:rsidRPr="0048531A" w:rsidTr="006B371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31A" w:rsidRPr="0048531A" w:rsidRDefault="0048531A" w:rsidP="0048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1A" w:rsidRPr="0048531A" w:rsidRDefault="0048531A" w:rsidP="0048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2 856,8</w:t>
            </w:r>
          </w:p>
        </w:tc>
      </w:tr>
    </w:tbl>
    <w:p w:rsidR="0048531A" w:rsidRDefault="0048531A"/>
    <w:p w:rsidR="0048531A" w:rsidRDefault="0048531A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2D41F1" w:rsidRDefault="002D41F1"/>
    <w:p w:rsidR="006B371F" w:rsidRDefault="006B371F"/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  <w:gridCol w:w="4786"/>
      </w:tblGrid>
      <w:tr w:rsidR="002D41F1" w:rsidTr="002D41F1">
        <w:tc>
          <w:tcPr>
            <w:tcW w:w="4361" w:type="dxa"/>
          </w:tcPr>
          <w:p w:rsidR="002D41F1" w:rsidRDefault="002D41F1"/>
        </w:tc>
        <w:tc>
          <w:tcPr>
            <w:tcW w:w="5210" w:type="dxa"/>
          </w:tcPr>
          <w:p w:rsidR="002D41F1" w:rsidRDefault="00E103D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№9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сельского поселения</w:t>
            </w:r>
          </w:p>
          <w:p w:rsidR="002D41F1" w:rsidRDefault="002D41F1" w:rsidP="00E103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Ковардинский</w:t>
            </w:r>
            <w:proofErr w:type="spellEnd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 бюджете сельского поселения </w:t>
            </w:r>
            <w:proofErr w:type="spellStart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Имендяшевский</w:t>
            </w:r>
            <w:proofErr w:type="spellEnd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Республики Башкортостан на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D41F1" w:rsidRDefault="002D41F1" w:rsidP="00E103D1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 и 2021 годов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D41F1" w:rsidRDefault="002D41F1" w:rsidP="00E10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50-153з   от   17</w:t>
            </w:r>
            <w:r w:rsidRPr="000B1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декабря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018г</w:t>
            </w:r>
          </w:p>
        </w:tc>
        <w:tc>
          <w:tcPr>
            <w:tcW w:w="4786" w:type="dxa"/>
          </w:tcPr>
          <w:p w:rsidR="002D41F1" w:rsidRDefault="002D41F1"/>
        </w:tc>
      </w:tr>
    </w:tbl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2"/>
        <w:gridCol w:w="605"/>
        <w:gridCol w:w="881"/>
        <w:gridCol w:w="850"/>
        <w:gridCol w:w="993"/>
        <w:gridCol w:w="850"/>
        <w:gridCol w:w="709"/>
        <w:gridCol w:w="1112"/>
        <w:gridCol w:w="1014"/>
      </w:tblGrid>
      <w:tr w:rsidR="006B371F" w:rsidRPr="006B371F" w:rsidTr="002D41F1">
        <w:trPr>
          <w:gridAfter w:val="3"/>
          <w:wAfter w:w="2835" w:type="dxa"/>
          <w:trHeight w:val="315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1F1" w:rsidRDefault="002D41F1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1F1" w:rsidRDefault="002D41F1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1F1" w:rsidRDefault="002D41F1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{F{B-3} Ведомственная структура расходов бюджета  на 2020 и 2021 годы </w:t>
            </w:r>
            <w:proofErr w:type="gramEnd"/>
          </w:p>
        </w:tc>
      </w:tr>
      <w:tr w:rsidR="006B371F" w:rsidRPr="006B371F" w:rsidTr="002D41F1">
        <w:trPr>
          <w:gridAfter w:val="3"/>
          <w:wAfter w:w="2835" w:type="dxa"/>
          <w:trHeight w:val="315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1F" w:rsidRPr="006B371F" w:rsidRDefault="002D41F1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6B371F"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6B371F"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6B371F"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6B371F"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371F" w:rsidRPr="006B371F" w:rsidTr="002D41F1">
        <w:trPr>
          <w:trHeight w:val="57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сновное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6B371F" w:rsidRPr="006B371F" w:rsidTr="002D41F1">
        <w:trPr>
          <w:trHeight w:val="189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437,6</w:t>
            </w:r>
          </w:p>
        </w:tc>
      </w:tr>
      <w:tr w:rsidR="006B371F" w:rsidRPr="006B371F" w:rsidTr="002D41F1">
        <w:trPr>
          <w:trHeight w:val="189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Гафурийский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126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6B371F" w:rsidRPr="006B371F" w:rsidTr="002D41F1">
        <w:trPr>
          <w:trHeight w:val="189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707,4</w:t>
            </w:r>
          </w:p>
        </w:tc>
      </w:tr>
      <w:tr w:rsidR="006B371F" w:rsidRPr="006B371F" w:rsidTr="002D41F1">
        <w:trPr>
          <w:trHeight w:val="63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1 820,9</w:t>
            </w:r>
          </w:p>
        </w:tc>
      </w:tr>
      <w:tr w:rsidR="006B371F" w:rsidRPr="006B371F" w:rsidTr="002D41F1">
        <w:trPr>
          <w:trHeight w:val="189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1 363,5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371F" w:rsidRPr="006B371F" w:rsidTr="002D41F1">
        <w:trPr>
          <w:trHeight w:val="94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6B371F" w:rsidRPr="006B371F" w:rsidTr="002D41F1">
        <w:trPr>
          <w:trHeight w:val="189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3 591,8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6B371F" w:rsidRPr="006B371F" w:rsidTr="002D41F1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1F" w:rsidRPr="006B371F" w:rsidRDefault="006B371F" w:rsidP="006B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1F" w:rsidRPr="006B371F" w:rsidRDefault="006B371F" w:rsidP="006B3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</w:tbl>
    <w:p w:rsidR="006B371F" w:rsidRDefault="006B371F"/>
    <w:p w:rsidR="006B371F" w:rsidRDefault="006B371F"/>
    <w:p w:rsidR="006B371F" w:rsidRDefault="006B371F"/>
    <w:p w:rsidR="006B371F" w:rsidRDefault="006B371F"/>
    <w:p w:rsidR="006B371F" w:rsidRDefault="006B371F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p w:rsidR="0048531A" w:rsidRDefault="0048531A"/>
    <w:sectPr w:rsidR="004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E99"/>
    <w:multiLevelType w:val="hybridMultilevel"/>
    <w:tmpl w:val="8770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5"/>
    <w:rsid w:val="00161A8E"/>
    <w:rsid w:val="00231CD4"/>
    <w:rsid w:val="00281DCF"/>
    <w:rsid w:val="002D41F1"/>
    <w:rsid w:val="0048531A"/>
    <w:rsid w:val="00486AB5"/>
    <w:rsid w:val="006B371F"/>
    <w:rsid w:val="00A10977"/>
    <w:rsid w:val="00AE57AC"/>
    <w:rsid w:val="00E103D1"/>
    <w:rsid w:val="00EC0B76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37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1A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61A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37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1A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61A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9542</Words>
  <Characters>54396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dcterms:created xsi:type="dcterms:W3CDTF">2019-01-18T09:31:00Z</dcterms:created>
  <dcterms:modified xsi:type="dcterms:W3CDTF">2019-01-18T09:31:00Z</dcterms:modified>
</cp:coreProperties>
</file>